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12ADE25C" w14:paraId="4858BAE9" wp14:textId="115CDB68">
      <w:pPr>
        <w:jc w:val="left"/>
      </w:pPr>
      <w:r w:rsidRPr="12ADE25C" w:rsidR="12ADE25C">
        <w:rPr>
          <w:rFonts w:ascii="Calibri" w:hAnsi="Calibri" w:eastAsia="Calibri" w:cs="Calibri"/>
          <w:b w:val="1"/>
          <w:bCs w:val="1"/>
          <w:i w:val="0"/>
          <w:iCs w:val="0"/>
          <w:caps w:val="0"/>
          <w:smallCaps w:val="0"/>
          <w:noProof w:val="0"/>
          <w:color w:val="3A3A3A"/>
          <w:sz w:val="25"/>
          <w:szCs w:val="25"/>
          <w:lang w:val="es-ES"/>
        </w:rPr>
        <w:t>NAJP: El modelo tripartito sobre la alta capacidad: ¿qué</w:t>
      </w:r>
      <w:r>
        <w:br/>
      </w:r>
      <w:r w:rsidRPr="12ADE25C" w:rsidR="12ADE25C">
        <w:rPr>
          <w:rFonts w:ascii="Calibri" w:hAnsi="Calibri" w:eastAsia="Calibri" w:cs="Calibri"/>
          <w:b w:val="1"/>
          <w:bCs w:val="1"/>
          <w:i w:val="0"/>
          <w:iCs w:val="0"/>
          <w:caps w:val="0"/>
          <w:smallCaps w:val="0"/>
          <w:noProof w:val="0"/>
          <w:color w:val="3A3A3A"/>
          <w:sz w:val="25"/>
          <w:szCs w:val="25"/>
          <w:lang w:val="es-ES"/>
        </w:rPr>
        <w:t>es y en qué se diferencia del WISC</w:t>
      </w:r>
      <w:hyperlink w:anchor="_ftn2" r:id="Ra5bf722ea6a34308">
        <w:r w:rsidRPr="12ADE25C" w:rsidR="12ADE25C">
          <w:rPr>
            <w:rStyle w:val="Hyperlink"/>
            <w:rFonts w:ascii="Calibri" w:hAnsi="Calibri" w:eastAsia="Calibri" w:cs="Calibri"/>
            <w:b w:val="1"/>
            <w:bCs w:val="1"/>
            <w:i w:val="0"/>
            <w:iCs w:val="0"/>
            <w:caps w:val="0"/>
            <w:smallCaps w:val="0"/>
            <w:strike w:val="0"/>
            <w:dstrike w:val="0"/>
            <w:noProof w:val="0"/>
            <w:sz w:val="25"/>
            <w:szCs w:val="25"/>
            <w:lang w:val="es-ES"/>
          </w:rPr>
          <w:t>[2]</w:t>
        </w:r>
      </w:hyperlink>
      <w:r w:rsidRPr="12ADE25C" w:rsidR="12ADE25C">
        <w:rPr>
          <w:rFonts w:ascii="Calibri" w:hAnsi="Calibri" w:eastAsia="Calibri" w:cs="Calibri"/>
          <w:b w:val="1"/>
          <w:bCs w:val="1"/>
          <w:i w:val="0"/>
          <w:iCs w:val="0"/>
          <w:caps w:val="0"/>
          <w:smallCaps w:val="0"/>
          <w:noProof w:val="0"/>
          <w:color w:val="3A3A3A"/>
          <w:sz w:val="25"/>
          <w:szCs w:val="25"/>
          <w:lang w:val="es-ES"/>
        </w:rPr>
        <w:t xml:space="preserve"> de Sternberg?</w:t>
      </w:r>
    </w:p>
    <w:p xmlns:wp14="http://schemas.microsoft.com/office/word/2010/wordml" w:rsidP="12ADE25C" w14:paraId="78E6FBFD" wp14:textId="7E4489E9">
      <w:pPr>
        <w:jc w:val="left"/>
      </w:pPr>
      <w:r w:rsidRPr="12ADE25C" w:rsidR="12ADE25C">
        <w:rPr>
          <w:rFonts w:ascii="Calibri" w:hAnsi="Calibri" w:eastAsia="Calibri" w:cs="Calibri"/>
          <w:b w:val="1"/>
          <w:bCs w:val="1"/>
          <w:i w:val="0"/>
          <w:iCs w:val="0"/>
          <w:caps w:val="0"/>
          <w:smallCaps w:val="0"/>
          <w:noProof w:val="0"/>
          <w:color w:val="3A3A3A"/>
          <w:sz w:val="25"/>
          <w:szCs w:val="25"/>
          <w:lang w:val="es-ES"/>
        </w:rPr>
        <w:t>SP:</w:t>
      </w:r>
      <w:r w:rsidRPr="12ADE25C" w:rsidR="12ADE25C">
        <w:rPr>
          <w:rFonts w:ascii="Calibri" w:hAnsi="Calibri" w:eastAsia="Calibri" w:cs="Calibri"/>
          <w:b w:val="0"/>
          <w:bCs w:val="0"/>
          <w:i w:val="0"/>
          <w:iCs w:val="0"/>
          <w:caps w:val="0"/>
          <w:smallCaps w:val="0"/>
          <w:noProof w:val="0"/>
          <w:color w:val="3A3A3A"/>
          <w:sz w:val="25"/>
          <w:szCs w:val="25"/>
          <w:lang w:val="es-ES"/>
        </w:rPr>
        <w:t xml:space="preserve"> Hay muchas formas diferentes de conceptualizar las altas capacidades. </w:t>
      </w:r>
      <w:hyperlink r:id="Ra28434abebe7415a">
        <w:r w:rsidRPr="12ADE25C" w:rsidR="12ADE25C">
          <w:rPr>
            <w:rStyle w:val="Hyperlink"/>
            <w:rFonts w:ascii="Calibri" w:hAnsi="Calibri" w:eastAsia="Calibri" w:cs="Calibri"/>
            <w:b w:val="0"/>
            <w:bCs w:val="0"/>
            <w:i w:val="0"/>
            <w:iCs w:val="0"/>
            <w:caps w:val="0"/>
            <w:smallCaps w:val="0"/>
            <w:strike w:val="0"/>
            <w:dstrike w:val="0"/>
            <w:noProof w:val="0"/>
            <w:sz w:val="25"/>
            <w:szCs w:val="25"/>
            <w:lang w:val="es-ES"/>
          </w:rPr>
          <w:t>Sternberg y Davidson</w:t>
        </w:r>
      </w:hyperlink>
      <w:r w:rsidRPr="12ADE25C" w:rsidR="12ADE25C">
        <w:rPr>
          <w:rFonts w:ascii="Calibri" w:hAnsi="Calibri" w:eastAsia="Calibri" w:cs="Calibri"/>
          <w:b w:val="0"/>
          <w:bCs w:val="0"/>
          <w:i w:val="0"/>
          <w:iCs w:val="0"/>
          <w:caps w:val="0"/>
          <w:smallCaps w:val="0"/>
          <w:noProof w:val="0"/>
          <w:color w:val="3A3A3A"/>
          <w:sz w:val="25"/>
          <w:szCs w:val="25"/>
          <w:lang w:val="es-ES"/>
        </w:rPr>
        <w:t xml:space="preserve"> sugirieron al menos veinte formas diferentes de verlas en su libro de 2005. La mayoría de los modelos, ampliamente citados, incluido el WISC de Sternberg, se ajustan a uno de los cuatro grupos de modelos. Estos cuatro grupos alternativos implican diferentes formas de definir, identificar y nutrir los dones. Los diferentes modelos varían en su nivel de detalle y en la facilidad con que pueden traducirse en protocolos de evaluación y programas de intervención psicoeducativa. También varían en su énfasis relativo en el papel de las diferencias individuales, los antecedentes del desarrollo, la genética, la familia y el medio ambiente.</w:t>
      </w:r>
    </w:p>
    <w:p xmlns:wp14="http://schemas.microsoft.com/office/word/2010/wordml" w:rsidP="12ADE25C" w14:paraId="73788331" wp14:textId="01A84443">
      <w:pPr>
        <w:jc w:val="left"/>
      </w:pPr>
      <w:r w:rsidRPr="12ADE25C" w:rsidR="12ADE25C">
        <w:rPr>
          <w:rFonts w:ascii="Calibri" w:hAnsi="Calibri" w:eastAsia="Calibri" w:cs="Calibri"/>
          <w:b w:val="0"/>
          <w:bCs w:val="0"/>
          <w:i w:val="0"/>
          <w:iCs w:val="0"/>
          <w:caps w:val="0"/>
          <w:smallCaps w:val="0"/>
          <w:noProof w:val="0"/>
          <w:color w:val="3A3A3A"/>
          <w:sz w:val="25"/>
          <w:szCs w:val="25"/>
          <w:lang w:val="es-ES"/>
        </w:rPr>
        <w:t xml:space="preserve">Los cuatro grupos de modelos, al menos tal como yo los veo, son el </w:t>
      </w:r>
      <w:r w:rsidRPr="12ADE25C" w:rsidR="12ADE25C">
        <w:rPr>
          <w:rFonts w:ascii="Calibri" w:hAnsi="Calibri" w:eastAsia="Calibri" w:cs="Calibri"/>
          <w:b w:val="1"/>
          <w:bCs w:val="1"/>
          <w:i w:val="1"/>
          <w:iCs w:val="1"/>
          <w:caps w:val="0"/>
          <w:smallCaps w:val="0"/>
          <w:noProof w:val="0"/>
          <w:color w:val="3A3A3A"/>
          <w:sz w:val="25"/>
          <w:szCs w:val="25"/>
          <w:lang w:val="es-ES"/>
        </w:rPr>
        <w:t>psicométrico tradicional</w:t>
      </w:r>
      <w:r w:rsidRPr="12ADE25C" w:rsidR="12ADE25C">
        <w:rPr>
          <w:rFonts w:ascii="Calibri" w:hAnsi="Calibri" w:eastAsia="Calibri" w:cs="Calibri"/>
          <w:b w:val="0"/>
          <w:bCs w:val="0"/>
          <w:i w:val="0"/>
          <w:iCs w:val="0"/>
          <w:caps w:val="0"/>
          <w:smallCaps w:val="0"/>
          <w:noProof w:val="0"/>
          <w:color w:val="3A3A3A"/>
          <w:sz w:val="25"/>
          <w:szCs w:val="25"/>
          <w:lang w:val="es-ES"/>
        </w:rPr>
        <w:t xml:space="preserve">, los </w:t>
      </w:r>
      <w:r w:rsidRPr="12ADE25C" w:rsidR="12ADE25C">
        <w:rPr>
          <w:rFonts w:ascii="Calibri" w:hAnsi="Calibri" w:eastAsia="Calibri" w:cs="Calibri"/>
          <w:b w:val="1"/>
          <w:bCs w:val="1"/>
          <w:i w:val="1"/>
          <w:iCs w:val="1"/>
          <w:caps w:val="0"/>
          <w:smallCaps w:val="0"/>
          <w:noProof w:val="0"/>
          <w:color w:val="3A3A3A"/>
          <w:sz w:val="25"/>
          <w:szCs w:val="25"/>
          <w:lang w:val="es-ES"/>
        </w:rPr>
        <w:t>modelos de desarrollo del talento</w:t>
      </w:r>
      <w:r w:rsidRPr="12ADE25C" w:rsidR="12ADE25C">
        <w:rPr>
          <w:rFonts w:ascii="Calibri" w:hAnsi="Calibri" w:eastAsia="Calibri" w:cs="Calibri"/>
          <w:b w:val="1"/>
          <w:bCs w:val="1"/>
          <w:i w:val="0"/>
          <w:iCs w:val="0"/>
          <w:caps w:val="0"/>
          <w:smallCaps w:val="0"/>
          <w:noProof w:val="0"/>
          <w:color w:val="3A3A3A"/>
          <w:sz w:val="25"/>
          <w:szCs w:val="25"/>
          <w:lang w:val="es-ES"/>
        </w:rPr>
        <w:t>,</w:t>
      </w:r>
      <w:r w:rsidRPr="12ADE25C" w:rsidR="12ADE25C">
        <w:rPr>
          <w:rFonts w:ascii="Calibri" w:hAnsi="Calibri" w:eastAsia="Calibri" w:cs="Calibri"/>
          <w:b w:val="0"/>
          <w:bCs w:val="0"/>
          <w:i w:val="0"/>
          <w:iCs w:val="0"/>
          <w:caps w:val="0"/>
          <w:smallCaps w:val="0"/>
          <w:noProof w:val="0"/>
          <w:color w:val="3A3A3A"/>
          <w:sz w:val="25"/>
          <w:szCs w:val="25"/>
          <w:lang w:val="es-ES"/>
        </w:rPr>
        <w:t xml:space="preserve"> la </w:t>
      </w:r>
      <w:r w:rsidRPr="12ADE25C" w:rsidR="12ADE25C">
        <w:rPr>
          <w:rFonts w:ascii="Calibri" w:hAnsi="Calibri" w:eastAsia="Calibri" w:cs="Calibri"/>
          <w:b w:val="1"/>
          <w:bCs w:val="1"/>
          <w:i w:val="1"/>
          <w:iCs w:val="1"/>
          <w:caps w:val="0"/>
          <w:smallCaps w:val="0"/>
          <w:noProof w:val="0"/>
          <w:color w:val="3A3A3A"/>
          <w:sz w:val="25"/>
          <w:szCs w:val="25"/>
          <w:lang w:val="es-ES"/>
        </w:rPr>
        <w:t>perspectiva del rendimiento experto</w:t>
      </w:r>
      <w:r w:rsidRPr="12ADE25C" w:rsidR="12ADE25C">
        <w:rPr>
          <w:rFonts w:ascii="Calibri" w:hAnsi="Calibri" w:eastAsia="Calibri" w:cs="Calibri"/>
          <w:b w:val="0"/>
          <w:bCs w:val="0"/>
          <w:i w:val="0"/>
          <w:iCs w:val="0"/>
          <w:caps w:val="0"/>
          <w:smallCaps w:val="0"/>
          <w:noProof w:val="0"/>
          <w:color w:val="3A3A3A"/>
          <w:sz w:val="25"/>
          <w:szCs w:val="25"/>
          <w:lang w:val="es-ES"/>
        </w:rPr>
        <w:t xml:space="preserve"> y las </w:t>
      </w:r>
      <w:r w:rsidRPr="12ADE25C" w:rsidR="12ADE25C">
        <w:rPr>
          <w:rFonts w:ascii="Calibri" w:hAnsi="Calibri" w:eastAsia="Calibri" w:cs="Calibri"/>
          <w:b w:val="1"/>
          <w:bCs w:val="1"/>
          <w:i w:val="1"/>
          <w:iCs w:val="1"/>
          <w:caps w:val="0"/>
          <w:smallCaps w:val="0"/>
          <w:noProof w:val="0"/>
          <w:color w:val="3A3A3A"/>
          <w:sz w:val="25"/>
          <w:szCs w:val="25"/>
          <w:lang w:val="es-ES"/>
        </w:rPr>
        <w:t>inteligencias múltiples</w:t>
      </w:r>
      <w:r w:rsidRPr="12ADE25C" w:rsidR="12ADE25C">
        <w:rPr>
          <w:rFonts w:ascii="Calibri" w:hAnsi="Calibri" w:eastAsia="Calibri" w:cs="Calibri"/>
          <w:b w:val="1"/>
          <w:bCs w:val="1"/>
          <w:i w:val="0"/>
          <w:iCs w:val="0"/>
          <w:caps w:val="0"/>
          <w:smallCaps w:val="0"/>
          <w:noProof w:val="0"/>
          <w:color w:val="3A3A3A"/>
          <w:sz w:val="25"/>
          <w:szCs w:val="25"/>
          <w:lang w:val="es-ES"/>
        </w:rPr>
        <w:t>.</w:t>
      </w:r>
      <w:r w:rsidRPr="12ADE25C" w:rsidR="12ADE25C">
        <w:rPr>
          <w:rFonts w:ascii="Calibri" w:hAnsi="Calibri" w:eastAsia="Calibri" w:cs="Calibri"/>
          <w:b w:val="0"/>
          <w:bCs w:val="0"/>
          <w:i w:val="0"/>
          <w:iCs w:val="0"/>
          <w:caps w:val="0"/>
          <w:smallCaps w:val="0"/>
          <w:noProof w:val="0"/>
          <w:color w:val="3A3A3A"/>
          <w:sz w:val="25"/>
          <w:szCs w:val="25"/>
          <w:lang w:val="es-ES"/>
        </w:rPr>
        <w:t xml:space="preserve"> La teoría de la inteligencia exitosa de Sternberg, su provocativo modelo WISC, que consiste en creatividad, inteligencia y sabiduría, encaja en el modelo de inteligencias múltiples.</w:t>
      </w:r>
    </w:p>
    <w:p xmlns:wp14="http://schemas.microsoft.com/office/word/2010/wordml" w:rsidP="12ADE25C" w14:paraId="4D7639F2" wp14:textId="0FF094B1">
      <w:pPr>
        <w:jc w:val="left"/>
      </w:pPr>
      <w:r w:rsidRPr="12ADE25C" w:rsidR="12ADE25C">
        <w:rPr>
          <w:rFonts w:ascii="Calibri" w:hAnsi="Calibri" w:eastAsia="Calibri" w:cs="Calibri"/>
          <w:b w:val="0"/>
          <w:bCs w:val="0"/>
          <w:i w:val="0"/>
          <w:iCs w:val="0"/>
          <w:caps w:val="0"/>
          <w:smallCaps w:val="0"/>
          <w:noProof w:val="0"/>
          <w:color w:val="3A3A3A"/>
          <w:sz w:val="25"/>
          <w:szCs w:val="25"/>
          <w:lang w:val="es-ES"/>
        </w:rPr>
        <w:t xml:space="preserve">Mi modelo, el modelo tripartito, no es contradictorio con ninguno de los cuatro grupos de modelos mencionados anteriormente. De hecho, </w:t>
      </w:r>
      <w:r w:rsidRPr="12ADE25C" w:rsidR="12ADE25C">
        <w:rPr>
          <w:rFonts w:ascii="Calibri" w:hAnsi="Calibri" w:eastAsia="Calibri" w:cs="Calibri"/>
          <w:b w:val="1"/>
          <w:bCs w:val="1"/>
          <w:i w:val="0"/>
          <w:iCs w:val="0"/>
          <w:caps w:val="0"/>
          <w:smallCaps w:val="0"/>
          <w:noProof w:val="0"/>
          <w:color w:val="3A3A3A"/>
          <w:sz w:val="25"/>
          <w:szCs w:val="25"/>
          <w:lang w:val="es-ES"/>
        </w:rPr>
        <w:t>el modelo tripartito incorpora elementos de los cuatro modelos</w:t>
      </w:r>
      <w:r w:rsidRPr="12ADE25C" w:rsidR="12ADE25C">
        <w:rPr>
          <w:rFonts w:ascii="Calibri" w:hAnsi="Calibri" w:eastAsia="Calibri" w:cs="Calibri"/>
          <w:b w:val="0"/>
          <w:bCs w:val="0"/>
          <w:i w:val="0"/>
          <w:iCs w:val="0"/>
          <w:caps w:val="0"/>
          <w:smallCaps w:val="0"/>
          <w:noProof w:val="0"/>
          <w:color w:val="3A3A3A"/>
          <w:sz w:val="25"/>
          <w:szCs w:val="25"/>
          <w:lang w:val="es-ES"/>
        </w:rPr>
        <w:t xml:space="preserve">. El modelo tripartito </w:t>
      </w:r>
      <w:r w:rsidRPr="12ADE25C" w:rsidR="12ADE25C">
        <w:rPr>
          <w:rFonts w:ascii="Calibri" w:hAnsi="Calibri" w:eastAsia="Calibri" w:cs="Calibri"/>
          <w:b w:val="1"/>
          <w:bCs w:val="1"/>
          <w:i w:val="0"/>
          <w:iCs w:val="0"/>
          <w:caps w:val="0"/>
          <w:smallCaps w:val="0"/>
          <w:noProof w:val="0"/>
          <w:color w:val="3A3A3A"/>
          <w:sz w:val="25"/>
          <w:szCs w:val="25"/>
          <w:lang w:val="es-ES"/>
        </w:rPr>
        <w:t>es un modelo práctico</w:t>
      </w:r>
      <w:r w:rsidRPr="12ADE25C" w:rsidR="12ADE25C">
        <w:rPr>
          <w:rFonts w:ascii="Calibri" w:hAnsi="Calibri" w:eastAsia="Calibri" w:cs="Calibri"/>
          <w:b w:val="0"/>
          <w:bCs w:val="0"/>
          <w:i w:val="0"/>
          <w:iCs w:val="0"/>
          <w:caps w:val="0"/>
          <w:smallCaps w:val="0"/>
          <w:noProof w:val="0"/>
          <w:color w:val="3A3A3A"/>
          <w:sz w:val="25"/>
          <w:szCs w:val="25"/>
          <w:lang w:val="es-ES"/>
        </w:rPr>
        <w:t>, desarrollado a partir de mi trabajo con jóvenes muy talentosos durante mi época en la Universidad de Duke. El modelo tripartito proporciona tres formas diferentes de ver a los estudiantes con alta capacidad o potencial extraordinario. Tres formas diferentes pero complementarias de conceptualizar, identificar y programar para estudiantes con alta capacidad. Las tres lentes distintas a través de las cuales se pueden ver a los estudiantes de alta capacidad dentro del modelo tripartito son estas:</w:t>
      </w:r>
    </w:p>
    <w:p xmlns:wp14="http://schemas.microsoft.com/office/word/2010/wordml" w:rsidP="12ADE25C" w14:paraId="0A58AAB9" wp14:textId="7F212BB6">
      <w:pPr>
        <w:jc w:val="left"/>
      </w:pPr>
      <w:r w:rsidRPr="12ADE25C" w:rsidR="12ADE25C">
        <w:rPr>
          <w:rFonts w:ascii="Calibri" w:hAnsi="Calibri" w:eastAsia="Calibri" w:cs="Calibri"/>
          <w:b w:val="0"/>
          <w:bCs w:val="0"/>
          <w:i w:val="1"/>
          <w:iCs w:val="1"/>
          <w:caps w:val="0"/>
          <w:smallCaps w:val="0"/>
          <w:noProof w:val="0"/>
          <w:color w:val="3A3A3A"/>
          <w:sz w:val="22"/>
          <w:szCs w:val="22"/>
          <w:lang w:val="es-ES"/>
        </w:rPr>
        <w:t>Dotación a través de la lente de la alta capacidad intelectual.</w:t>
      </w:r>
    </w:p>
    <w:p xmlns:wp14="http://schemas.microsoft.com/office/word/2010/wordml" w:rsidP="12ADE25C" w14:paraId="0A5CD6B1" wp14:textId="32A84709">
      <w:pPr>
        <w:jc w:val="left"/>
      </w:pPr>
      <w:r w:rsidRPr="12ADE25C" w:rsidR="12ADE25C">
        <w:rPr>
          <w:rFonts w:ascii="Calibri" w:hAnsi="Calibri" w:eastAsia="Calibri" w:cs="Calibri"/>
          <w:b w:val="0"/>
          <w:bCs w:val="0"/>
          <w:i w:val="1"/>
          <w:iCs w:val="1"/>
          <w:caps w:val="0"/>
          <w:smallCaps w:val="0"/>
          <w:noProof w:val="0"/>
          <w:color w:val="3A3A3A"/>
          <w:sz w:val="22"/>
          <w:szCs w:val="22"/>
          <w:lang w:val="es-ES"/>
        </w:rPr>
        <w:t>Dotación a través de la lente de los logros sobresalientes.</w:t>
      </w:r>
    </w:p>
    <w:p xmlns:wp14="http://schemas.microsoft.com/office/word/2010/wordml" w:rsidP="12ADE25C" w14:paraId="1DF628AB" wp14:textId="4091E29E">
      <w:pPr>
        <w:jc w:val="left"/>
      </w:pPr>
      <w:r w:rsidRPr="12ADE25C" w:rsidR="12ADE25C">
        <w:rPr>
          <w:rFonts w:ascii="Calibri" w:hAnsi="Calibri" w:eastAsia="Calibri" w:cs="Calibri"/>
          <w:b w:val="0"/>
          <w:bCs w:val="0"/>
          <w:i w:val="1"/>
          <w:iCs w:val="1"/>
          <w:caps w:val="0"/>
          <w:smallCaps w:val="0"/>
          <w:noProof w:val="0"/>
          <w:color w:val="3A3A3A"/>
          <w:sz w:val="22"/>
          <w:szCs w:val="22"/>
          <w:lang w:val="es-ES"/>
        </w:rPr>
        <w:t>Dotación a través de la lente del potencial para sobresalir.</w:t>
      </w:r>
    </w:p>
    <w:p xmlns:wp14="http://schemas.microsoft.com/office/word/2010/wordml" w:rsidP="12ADE25C" w14:paraId="5F0BC216" wp14:textId="1F288E72">
      <w:pPr>
        <w:jc w:val="left"/>
      </w:pPr>
      <w:r w:rsidRPr="12ADE25C" w:rsidR="12ADE25C">
        <w:rPr>
          <w:rFonts w:ascii="Calibri" w:hAnsi="Calibri" w:eastAsia="Calibri" w:cs="Calibri"/>
          <w:b w:val="1"/>
          <w:bCs w:val="1"/>
          <w:i w:val="0"/>
          <w:iCs w:val="0"/>
          <w:caps w:val="0"/>
          <w:smallCaps w:val="0"/>
          <w:noProof w:val="0"/>
          <w:color w:val="3A3A3A"/>
          <w:sz w:val="25"/>
          <w:szCs w:val="25"/>
          <w:lang w:val="es-ES"/>
        </w:rPr>
        <w:t>La primera perspectiva del modelo tripartito, la alta inteligencia</w:t>
      </w:r>
      <w:r w:rsidRPr="12ADE25C" w:rsidR="12ADE25C">
        <w:rPr>
          <w:rFonts w:ascii="Calibri" w:hAnsi="Calibri" w:eastAsia="Calibri" w:cs="Calibri"/>
          <w:b w:val="0"/>
          <w:bCs w:val="0"/>
          <w:i w:val="0"/>
          <w:iCs w:val="0"/>
          <w:caps w:val="0"/>
          <w:smallCaps w:val="0"/>
          <w:noProof w:val="0"/>
          <w:color w:val="3A3A3A"/>
          <w:sz w:val="25"/>
          <w:szCs w:val="25"/>
          <w:lang w:val="es-ES"/>
        </w:rPr>
        <w:t>, es familiar para la mayoría de los lectores. A través de esta primera lente, se puede usar un cociente intelectual o una prueba de capacidad cognitiva, o su equivalente, para identificar a los estudiantes que funcionan intelectualmente en un cierto nivel, considerablemente por encima del promedio. El criterio para la alta capacidad intelectual se basa en pruebas convincentes y científicamente fiables de que el joven está avanzado intelectualmente en comparación con compañeros de su misma edad. Esta primera perspectiva del modelo tripartito puede seguir una visión general (g) o multidimensional (por ejemplo, el popular modelo C-H-C</w:t>
      </w:r>
      <w:hyperlink w:anchor="_ftn3" r:id="R83b3ea53af6b4b70">
        <w:r w:rsidRPr="12ADE25C" w:rsidR="12ADE25C">
          <w:rPr>
            <w:rStyle w:val="Hyperlink"/>
            <w:rFonts w:ascii="Calibri" w:hAnsi="Calibri" w:eastAsia="Calibri" w:cs="Calibri"/>
            <w:b w:val="0"/>
            <w:bCs w:val="0"/>
            <w:i w:val="0"/>
            <w:iCs w:val="0"/>
            <w:caps w:val="0"/>
            <w:smallCaps w:val="0"/>
            <w:strike w:val="0"/>
            <w:dstrike w:val="0"/>
            <w:noProof w:val="0"/>
            <w:sz w:val="25"/>
            <w:szCs w:val="25"/>
            <w:lang w:val="es-ES"/>
          </w:rPr>
          <w:t>[3]</w:t>
        </w:r>
      </w:hyperlink>
      <w:r w:rsidRPr="12ADE25C" w:rsidR="12ADE25C">
        <w:rPr>
          <w:rFonts w:ascii="Calibri" w:hAnsi="Calibri" w:eastAsia="Calibri" w:cs="Calibri"/>
          <w:b w:val="0"/>
          <w:bCs w:val="0"/>
          <w:i w:val="0"/>
          <w:iCs w:val="0"/>
          <w:caps w:val="0"/>
          <w:smallCaps w:val="0"/>
          <w:noProof w:val="0"/>
          <w:color w:val="3A3A3A"/>
          <w:sz w:val="25"/>
          <w:szCs w:val="25"/>
          <w:lang w:val="es-ES"/>
        </w:rPr>
        <w:t xml:space="preserve"> de capacidades cognitivas). También podría guiarse por una estructura del intelecto, inteligencias múltiples, o incluso un modelo neuroanatómico de inteligencias.</w:t>
      </w:r>
    </w:p>
    <w:p xmlns:wp14="http://schemas.microsoft.com/office/word/2010/wordml" w:rsidP="12ADE25C" w14:paraId="49EDB37F" wp14:textId="398557DF">
      <w:pPr>
        <w:jc w:val="left"/>
      </w:pPr>
      <w:r w:rsidRPr="12ADE25C" w:rsidR="12ADE25C">
        <w:rPr>
          <w:rFonts w:ascii="Calibri" w:hAnsi="Calibri" w:eastAsia="Calibri" w:cs="Calibri"/>
          <w:b w:val="1"/>
          <w:bCs w:val="1"/>
          <w:i w:val="0"/>
          <w:iCs w:val="0"/>
          <w:caps w:val="0"/>
          <w:smallCaps w:val="0"/>
          <w:noProof w:val="0"/>
          <w:color w:val="3A3A3A"/>
          <w:sz w:val="25"/>
          <w:szCs w:val="25"/>
          <w:lang w:val="es-ES"/>
        </w:rPr>
        <w:t>La justificación de los programas</w:t>
      </w:r>
      <w:r w:rsidRPr="12ADE25C" w:rsidR="12ADE25C">
        <w:rPr>
          <w:rFonts w:ascii="Calibri" w:hAnsi="Calibri" w:eastAsia="Calibri" w:cs="Calibri"/>
          <w:b w:val="0"/>
          <w:bCs w:val="0"/>
          <w:i w:val="0"/>
          <w:iCs w:val="0"/>
          <w:caps w:val="0"/>
          <w:smallCaps w:val="0"/>
          <w:noProof w:val="0"/>
          <w:color w:val="3A3A3A"/>
          <w:sz w:val="25"/>
          <w:szCs w:val="25"/>
          <w:lang w:val="es-ES"/>
        </w:rPr>
        <w:t xml:space="preserve">, para los más capaces, basados en la visión de la primera lente del modelo tripartito </w:t>
      </w:r>
      <w:r w:rsidRPr="12ADE25C" w:rsidR="12ADE25C">
        <w:rPr>
          <w:rFonts w:ascii="Calibri" w:hAnsi="Calibri" w:eastAsia="Calibri" w:cs="Calibri"/>
          <w:b w:val="1"/>
          <w:bCs w:val="1"/>
          <w:i w:val="0"/>
          <w:iCs w:val="0"/>
          <w:caps w:val="0"/>
          <w:smallCaps w:val="0"/>
          <w:noProof w:val="0"/>
          <w:color w:val="3A3A3A"/>
          <w:sz w:val="25"/>
          <w:szCs w:val="25"/>
          <w:lang w:val="es-ES"/>
        </w:rPr>
        <w:t>es que los estudiantes con inteligencia superior necesitan un material académico avanzado, intelectualmente desafiante y, a menudo, más rápido, que no se encuentra típicamente en el aula regular</w:t>
      </w:r>
      <w:r w:rsidRPr="12ADE25C" w:rsidR="12ADE25C">
        <w:rPr>
          <w:rFonts w:ascii="Calibri" w:hAnsi="Calibri" w:eastAsia="Calibri" w:cs="Calibri"/>
          <w:b w:val="0"/>
          <w:bCs w:val="0"/>
          <w:i w:val="0"/>
          <w:iCs w:val="0"/>
          <w:caps w:val="0"/>
          <w:smallCaps w:val="0"/>
          <w:noProof w:val="0"/>
          <w:color w:val="3A3A3A"/>
          <w:sz w:val="25"/>
          <w:szCs w:val="25"/>
          <w:lang w:val="es-ES"/>
        </w:rPr>
        <w:t>. Basados en esta primera perspectiva, la educación para los más dotados consiste en planes de estudio altamente acelerados o académicamente avanzados y desafiantes. Los programas de verano Johns Hopkins y Duke TIP son dos ejemplos</w:t>
      </w:r>
      <w:hyperlink w:anchor="_ftn4" r:id="R1bce1744c8424c34">
        <w:r w:rsidRPr="12ADE25C" w:rsidR="12ADE25C">
          <w:rPr>
            <w:rStyle w:val="Hyperlink"/>
            <w:rFonts w:ascii="Calibri" w:hAnsi="Calibri" w:eastAsia="Calibri" w:cs="Calibri"/>
            <w:b w:val="0"/>
            <w:bCs w:val="0"/>
            <w:i w:val="0"/>
            <w:iCs w:val="0"/>
            <w:caps w:val="0"/>
            <w:smallCaps w:val="0"/>
            <w:strike w:val="0"/>
            <w:dstrike w:val="0"/>
            <w:noProof w:val="0"/>
            <w:sz w:val="25"/>
            <w:szCs w:val="25"/>
            <w:lang w:val="es-ES"/>
          </w:rPr>
          <w:t>[4]</w:t>
        </w:r>
      </w:hyperlink>
      <w:r w:rsidRPr="12ADE25C" w:rsidR="12ADE25C">
        <w:rPr>
          <w:rFonts w:ascii="Calibri" w:hAnsi="Calibri" w:eastAsia="Calibri" w:cs="Calibri"/>
          <w:b w:val="0"/>
          <w:bCs w:val="0"/>
          <w:i w:val="0"/>
          <w:iCs w:val="0"/>
          <w:caps w:val="0"/>
          <w:smallCaps w:val="0"/>
          <w:noProof w:val="0"/>
          <w:color w:val="3A3A3A"/>
          <w:sz w:val="25"/>
          <w:szCs w:val="25"/>
          <w:lang w:val="es-ES"/>
        </w:rPr>
        <w:t>.</w:t>
      </w:r>
    </w:p>
    <w:p xmlns:wp14="http://schemas.microsoft.com/office/word/2010/wordml" w:rsidP="12ADE25C" w14:paraId="4B3B7F10" wp14:textId="4D34DFC5">
      <w:pPr>
        <w:jc w:val="left"/>
      </w:pPr>
      <w:r w:rsidRPr="12ADE25C" w:rsidR="12ADE25C">
        <w:rPr>
          <w:rFonts w:ascii="Calibri" w:hAnsi="Calibri" w:eastAsia="Calibri" w:cs="Calibri"/>
          <w:b w:val="1"/>
          <w:bCs w:val="1"/>
          <w:i w:val="0"/>
          <w:iCs w:val="0"/>
          <w:caps w:val="0"/>
          <w:smallCaps w:val="0"/>
          <w:noProof w:val="0"/>
          <w:color w:val="3A3A3A"/>
          <w:sz w:val="25"/>
          <w:szCs w:val="25"/>
          <w:lang w:val="es-ES"/>
        </w:rPr>
        <w:t>La segunda perspectiva del modelo tripartito</w:t>
      </w:r>
      <w:r w:rsidRPr="12ADE25C" w:rsidR="12ADE25C">
        <w:rPr>
          <w:rFonts w:ascii="Calibri" w:hAnsi="Calibri" w:eastAsia="Calibri" w:cs="Calibri"/>
          <w:b w:val="0"/>
          <w:bCs w:val="0"/>
          <w:i w:val="0"/>
          <w:iCs w:val="0"/>
          <w:caps w:val="0"/>
          <w:smallCaps w:val="0"/>
          <w:noProof w:val="0"/>
          <w:color w:val="3A3A3A"/>
          <w:sz w:val="25"/>
          <w:szCs w:val="25"/>
          <w:lang w:val="es-ES"/>
        </w:rPr>
        <w:t xml:space="preserve"> es ver el talento a través de la lente de </w:t>
      </w:r>
      <w:r w:rsidRPr="12ADE25C" w:rsidR="12ADE25C">
        <w:rPr>
          <w:rFonts w:ascii="Calibri" w:hAnsi="Calibri" w:eastAsia="Calibri" w:cs="Calibri"/>
          <w:b w:val="1"/>
          <w:bCs w:val="1"/>
          <w:i w:val="0"/>
          <w:iCs w:val="0"/>
          <w:caps w:val="0"/>
          <w:smallCaps w:val="0"/>
          <w:noProof w:val="0"/>
          <w:color w:val="3A3A3A"/>
          <w:sz w:val="25"/>
          <w:szCs w:val="25"/>
          <w:lang w:val="es-ES"/>
        </w:rPr>
        <w:t xml:space="preserve">los logros </w:t>
      </w:r>
      <w:r w:rsidRPr="12ADE25C" w:rsidR="12ADE25C">
        <w:rPr>
          <w:rFonts w:ascii="Calibri" w:hAnsi="Calibri" w:eastAsia="Calibri" w:cs="Calibri"/>
          <w:b w:val="0"/>
          <w:bCs w:val="0"/>
          <w:i w:val="0"/>
          <w:iCs w:val="0"/>
          <w:caps w:val="0"/>
          <w:smallCaps w:val="0"/>
          <w:noProof w:val="0"/>
          <w:color w:val="3A3A3A"/>
          <w:sz w:val="25"/>
          <w:szCs w:val="25"/>
          <w:lang w:val="es-ES"/>
        </w:rPr>
        <w:t xml:space="preserve">[o rendimiento] </w:t>
      </w:r>
      <w:r w:rsidRPr="12ADE25C" w:rsidR="12ADE25C">
        <w:rPr>
          <w:rFonts w:ascii="Calibri" w:hAnsi="Calibri" w:eastAsia="Calibri" w:cs="Calibri"/>
          <w:b w:val="1"/>
          <w:bCs w:val="1"/>
          <w:i w:val="0"/>
          <w:iCs w:val="0"/>
          <w:caps w:val="0"/>
          <w:smallCaps w:val="0"/>
          <w:noProof w:val="0"/>
          <w:color w:val="3A3A3A"/>
          <w:sz w:val="25"/>
          <w:szCs w:val="25"/>
          <w:lang w:val="es-ES"/>
        </w:rPr>
        <w:t>sobresalientes</w:t>
      </w:r>
      <w:r w:rsidRPr="12ADE25C" w:rsidR="12ADE25C">
        <w:rPr>
          <w:rFonts w:ascii="Calibri" w:hAnsi="Calibri" w:eastAsia="Calibri" w:cs="Calibri"/>
          <w:b w:val="0"/>
          <w:bCs w:val="0"/>
          <w:i w:val="0"/>
          <w:iCs w:val="0"/>
          <w:caps w:val="0"/>
          <w:smallCaps w:val="0"/>
          <w:noProof w:val="0"/>
          <w:color w:val="3A3A3A"/>
          <w:sz w:val="25"/>
          <w:szCs w:val="25"/>
          <w:lang w:val="es-ES"/>
        </w:rPr>
        <w:t xml:space="preserve">. Esta segunda perspectiva no se burla ni denigra la importancia de la alta capacidad. Sin embargo, enfatiza la visión de los más capaces a través de la lente del rendimiento en el aula y en los proyectos del mundo real, como la característica central que define la alta capacidad. A medida que conceptualizo el modelo tripartito basado en esta segunda lente, la evidencia de </w:t>
      </w:r>
      <w:r w:rsidRPr="12ADE25C" w:rsidR="12ADE25C">
        <w:rPr>
          <w:rFonts w:ascii="Calibri" w:hAnsi="Calibri" w:eastAsia="Calibri" w:cs="Calibri"/>
          <w:b w:val="1"/>
          <w:bCs w:val="1"/>
          <w:i w:val="0"/>
          <w:iCs w:val="0"/>
          <w:caps w:val="0"/>
          <w:smallCaps w:val="0"/>
          <w:noProof w:val="0"/>
          <w:color w:val="3A3A3A"/>
          <w:sz w:val="25"/>
          <w:szCs w:val="25"/>
          <w:lang w:val="es-ES"/>
        </w:rPr>
        <w:t>la excelencia en el mundo real</w:t>
      </w:r>
      <w:r w:rsidRPr="12ADE25C" w:rsidR="12ADE25C">
        <w:rPr>
          <w:rFonts w:ascii="Calibri" w:hAnsi="Calibri" w:eastAsia="Calibri" w:cs="Calibri"/>
          <w:b w:val="0"/>
          <w:bCs w:val="0"/>
          <w:i w:val="0"/>
          <w:iCs w:val="0"/>
          <w:caps w:val="0"/>
          <w:smallCaps w:val="0"/>
          <w:noProof w:val="0"/>
          <w:color w:val="3A3A3A"/>
          <w:sz w:val="25"/>
          <w:szCs w:val="25"/>
          <w:lang w:val="es-ES"/>
        </w:rPr>
        <w:t xml:space="preserve">, en comparación con otros compañeros de la misma edad, es la condición </w:t>
      </w:r>
      <w:r w:rsidRPr="12ADE25C" w:rsidR="12ADE25C">
        <w:rPr>
          <w:rFonts w:ascii="Calibri" w:hAnsi="Calibri" w:eastAsia="Calibri" w:cs="Calibri"/>
          <w:b w:val="0"/>
          <w:bCs w:val="0"/>
          <w:i w:val="1"/>
          <w:iCs w:val="1"/>
          <w:caps w:val="0"/>
          <w:smallCaps w:val="0"/>
          <w:noProof w:val="0"/>
          <w:color w:val="3A3A3A"/>
          <w:sz w:val="25"/>
          <w:szCs w:val="25"/>
          <w:lang w:val="es-ES"/>
        </w:rPr>
        <w:t>sine qua non</w:t>
      </w:r>
      <w:r w:rsidRPr="12ADE25C" w:rsidR="12ADE25C">
        <w:rPr>
          <w:rFonts w:ascii="Calibri" w:hAnsi="Calibri" w:eastAsia="Calibri" w:cs="Calibri"/>
          <w:b w:val="0"/>
          <w:bCs w:val="0"/>
          <w:i w:val="0"/>
          <w:iCs w:val="0"/>
          <w:caps w:val="0"/>
          <w:smallCaps w:val="0"/>
          <w:noProof w:val="0"/>
          <w:color w:val="3A3A3A"/>
          <w:sz w:val="25"/>
          <w:szCs w:val="25"/>
          <w:lang w:val="es-ES"/>
        </w:rPr>
        <w:t xml:space="preserve"> para calificar a un estudiante como dotado y garantizar la admisión en un programa para dotados y talentosos, </w:t>
      </w:r>
      <w:r w:rsidRPr="12ADE25C" w:rsidR="12ADE25C">
        <w:rPr>
          <w:rFonts w:ascii="Calibri" w:hAnsi="Calibri" w:eastAsia="Calibri" w:cs="Calibri"/>
          <w:b w:val="1"/>
          <w:bCs w:val="1"/>
          <w:i w:val="0"/>
          <w:iCs w:val="0"/>
          <w:caps w:val="0"/>
          <w:smallCaps w:val="0"/>
          <w:noProof w:val="0"/>
          <w:color w:val="3A3A3A"/>
          <w:sz w:val="25"/>
          <w:szCs w:val="25"/>
          <w:lang w:val="es-ES"/>
        </w:rPr>
        <w:t>no un alto cociente intelectual</w:t>
      </w:r>
      <w:r w:rsidRPr="12ADE25C" w:rsidR="12ADE25C">
        <w:rPr>
          <w:rFonts w:ascii="Calibri" w:hAnsi="Calibri" w:eastAsia="Calibri" w:cs="Calibri"/>
          <w:b w:val="0"/>
          <w:bCs w:val="0"/>
          <w:i w:val="0"/>
          <w:iCs w:val="0"/>
          <w:caps w:val="0"/>
          <w:smallCaps w:val="0"/>
          <w:noProof w:val="0"/>
          <w:color w:val="3A3A3A"/>
          <w:sz w:val="25"/>
          <w:szCs w:val="25"/>
          <w:lang w:val="es-ES"/>
        </w:rPr>
        <w:t xml:space="preserve">. Recomiendo que </w:t>
      </w:r>
      <w:r w:rsidRPr="12ADE25C" w:rsidR="12ADE25C">
        <w:rPr>
          <w:rFonts w:ascii="Calibri" w:hAnsi="Calibri" w:eastAsia="Calibri" w:cs="Calibri"/>
          <w:b w:val="1"/>
          <w:bCs w:val="1"/>
          <w:i w:val="0"/>
          <w:iCs w:val="0"/>
          <w:caps w:val="0"/>
          <w:smallCaps w:val="0"/>
          <w:noProof w:val="0"/>
          <w:color w:val="3A3A3A"/>
          <w:sz w:val="25"/>
          <w:szCs w:val="25"/>
          <w:lang w:val="es-ES"/>
        </w:rPr>
        <w:t>el porfolio estandarizado y riguroso</w:t>
      </w:r>
      <w:r w:rsidRPr="12ADE25C" w:rsidR="12ADE25C">
        <w:rPr>
          <w:rFonts w:ascii="Calibri" w:hAnsi="Calibri" w:eastAsia="Calibri" w:cs="Calibri"/>
          <w:b w:val="0"/>
          <w:bCs w:val="0"/>
          <w:i w:val="0"/>
          <w:iCs w:val="0"/>
          <w:caps w:val="0"/>
          <w:smallCaps w:val="0"/>
          <w:noProof w:val="0"/>
          <w:color w:val="3A3A3A"/>
          <w:sz w:val="25"/>
          <w:szCs w:val="25"/>
          <w:lang w:val="es-ES"/>
        </w:rPr>
        <w:t>,</w:t>
      </w:r>
      <w:r w:rsidRPr="12ADE25C" w:rsidR="12ADE25C">
        <w:rPr>
          <w:rFonts w:ascii="Calibri" w:hAnsi="Calibri" w:eastAsia="Calibri" w:cs="Calibri"/>
          <w:b w:val="1"/>
          <w:bCs w:val="1"/>
          <w:i w:val="0"/>
          <w:iCs w:val="0"/>
          <w:caps w:val="0"/>
          <w:smallCaps w:val="0"/>
          <w:noProof w:val="0"/>
          <w:color w:val="3A3A3A"/>
          <w:sz w:val="25"/>
          <w:szCs w:val="25"/>
          <w:lang w:val="es-ES"/>
        </w:rPr>
        <w:t xml:space="preserve"> y la evaluación de la rúbrica de los productos para estudiantes reales,</w:t>
      </w:r>
      <w:r w:rsidRPr="12ADE25C" w:rsidR="12ADE25C">
        <w:rPr>
          <w:rFonts w:ascii="Calibri" w:hAnsi="Calibri" w:eastAsia="Calibri" w:cs="Calibri"/>
          <w:b w:val="0"/>
          <w:bCs w:val="0"/>
          <w:i w:val="0"/>
          <w:iCs w:val="0"/>
          <w:caps w:val="0"/>
          <w:smallCaps w:val="0"/>
          <w:noProof w:val="0"/>
          <w:color w:val="3A3A3A"/>
          <w:sz w:val="25"/>
          <w:szCs w:val="25"/>
          <w:lang w:val="es-ES"/>
        </w:rPr>
        <w:t xml:space="preserve"> </w:t>
      </w:r>
      <w:r w:rsidRPr="12ADE25C" w:rsidR="12ADE25C">
        <w:rPr>
          <w:rFonts w:ascii="Calibri" w:hAnsi="Calibri" w:eastAsia="Calibri" w:cs="Calibri"/>
          <w:b w:val="1"/>
          <w:bCs w:val="1"/>
          <w:i w:val="0"/>
          <w:iCs w:val="0"/>
          <w:caps w:val="0"/>
          <w:smallCaps w:val="0"/>
          <w:noProof w:val="0"/>
          <w:color w:val="3A3A3A"/>
          <w:sz w:val="25"/>
          <w:szCs w:val="25"/>
          <w:lang w:val="es-ES"/>
        </w:rPr>
        <w:t>sean el material que se debe usar para identificar a los estudiantes de alto rendimiento</w:t>
      </w:r>
      <w:r w:rsidRPr="12ADE25C" w:rsidR="12ADE25C">
        <w:rPr>
          <w:rFonts w:ascii="Calibri" w:hAnsi="Calibri" w:eastAsia="Calibri" w:cs="Calibri"/>
          <w:b w:val="0"/>
          <w:bCs w:val="0"/>
          <w:i w:val="0"/>
          <w:iCs w:val="0"/>
          <w:caps w:val="0"/>
          <w:smallCaps w:val="0"/>
          <w:noProof w:val="0"/>
          <w:color w:val="3A3A3A"/>
          <w:sz w:val="25"/>
          <w:szCs w:val="25"/>
          <w:lang w:val="es-ES"/>
        </w:rPr>
        <w:t xml:space="preserve"> como dotados a través de esta segunda lente del modelo tripartito.</w:t>
      </w:r>
    </w:p>
    <w:p xmlns:wp14="http://schemas.microsoft.com/office/word/2010/wordml" w:rsidP="12ADE25C" w14:paraId="5DA5D144" wp14:textId="7F8EA930">
      <w:pPr>
        <w:jc w:val="left"/>
      </w:pPr>
      <w:r w:rsidRPr="12ADE25C" w:rsidR="12ADE25C">
        <w:rPr>
          <w:rFonts w:ascii="Calibri" w:hAnsi="Calibri" w:eastAsia="Calibri" w:cs="Calibri"/>
          <w:b w:val="0"/>
          <w:bCs w:val="0"/>
          <w:i w:val="0"/>
          <w:iCs w:val="0"/>
          <w:caps w:val="0"/>
          <w:smallCaps w:val="0"/>
          <w:noProof w:val="0"/>
          <w:color w:val="3A3A3A"/>
          <w:sz w:val="25"/>
          <w:szCs w:val="25"/>
          <w:lang w:val="es-ES"/>
        </w:rPr>
        <w:t xml:space="preserve">Al ver a los más capaces a través de la lente de los logros sobresalientes, los educadores, administradores escolares, psicólogos y padres están buscando evidencias directas, e incontrovertibles, de la auténtica excelencia académica. </w:t>
      </w:r>
      <w:r w:rsidRPr="12ADE25C" w:rsidR="12ADE25C">
        <w:rPr>
          <w:rFonts w:ascii="Calibri" w:hAnsi="Calibri" w:eastAsia="Calibri" w:cs="Calibri"/>
          <w:b w:val="1"/>
          <w:bCs w:val="1"/>
          <w:i w:val="0"/>
          <w:iCs w:val="0"/>
          <w:caps w:val="0"/>
          <w:smallCaps w:val="0"/>
          <w:noProof w:val="0"/>
          <w:color w:val="3A3A3A"/>
          <w:sz w:val="25"/>
          <w:szCs w:val="25"/>
          <w:lang w:val="es-ES"/>
        </w:rPr>
        <w:t>La creatividad se enfatiza cuando se ve el talento a través de esta segunda lente</w:t>
      </w:r>
      <w:r w:rsidRPr="12ADE25C" w:rsidR="12ADE25C">
        <w:rPr>
          <w:rFonts w:ascii="Calibri" w:hAnsi="Calibri" w:eastAsia="Calibri" w:cs="Calibri"/>
          <w:b w:val="0"/>
          <w:bCs w:val="0"/>
          <w:i w:val="0"/>
          <w:iCs w:val="0"/>
          <w:caps w:val="0"/>
          <w:smallCaps w:val="0"/>
          <w:noProof w:val="0"/>
          <w:color w:val="3A3A3A"/>
          <w:sz w:val="25"/>
          <w:szCs w:val="25"/>
          <w:lang w:val="es-ES"/>
        </w:rPr>
        <w:t xml:space="preserve">, ya que a menudo esperamos ingenio y creatividad al juzgar logros sobresalientes del mundo real. Cuando desarrollamos mis escalas GRS [Gifted Rating Scales], ahora revisadas y recientemente estandarizadas con una versión para profesores y padres (GRS-2), consideramos intencionalmente elementos como: </w:t>
      </w:r>
      <w:r w:rsidRPr="12ADE25C" w:rsidR="12ADE25C">
        <w:rPr>
          <w:rFonts w:ascii="Calibri" w:hAnsi="Calibri" w:eastAsia="Calibri" w:cs="Calibri"/>
          <w:b w:val="0"/>
          <w:bCs w:val="0"/>
          <w:i w:val="1"/>
          <w:iCs w:val="1"/>
          <w:caps w:val="0"/>
          <w:smallCaps w:val="0"/>
          <w:noProof w:val="0"/>
          <w:color w:val="3A3A3A"/>
          <w:sz w:val="25"/>
          <w:szCs w:val="25"/>
          <w:lang w:val="es-ES"/>
        </w:rPr>
        <w:t>muestra una imaginación activa y genera muchas ideas</w:t>
      </w:r>
      <w:r w:rsidRPr="12ADE25C" w:rsidR="12ADE25C">
        <w:rPr>
          <w:rFonts w:ascii="Calibri" w:hAnsi="Calibri" w:eastAsia="Calibri" w:cs="Calibri"/>
          <w:b w:val="0"/>
          <w:bCs w:val="0"/>
          <w:i w:val="0"/>
          <w:iCs w:val="0"/>
          <w:caps w:val="0"/>
          <w:smallCaps w:val="0"/>
          <w:noProof w:val="0"/>
          <w:color w:val="3A3A3A"/>
          <w:sz w:val="25"/>
          <w:szCs w:val="25"/>
          <w:lang w:val="es-ES"/>
        </w:rPr>
        <w:t xml:space="preserve"> sobre </w:t>
      </w:r>
      <w:r w:rsidRPr="12ADE25C" w:rsidR="12ADE25C">
        <w:rPr>
          <w:rFonts w:ascii="Calibri" w:hAnsi="Calibri" w:eastAsia="Calibri" w:cs="Calibri"/>
          <w:b w:val="0"/>
          <w:bCs w:val="0"/>
          <w:i w:val="1"/>
          <w:iCs w:val="1"/>
          <w:caps w:val="0"/>
          <w:smallCaps w:val="0"/>
          <w:noProof w:val="0"/>
          <w:color w:val="3A3A3A"/>
          <w:sz w:val="25"/>
          <w:szCs w:val="25"/>
          <w:lang w:val="es-ES"/>
        </w:rPr>
        <w:t>qué pasaría si</w:t>
      </w:r>
      <w:r w:rsidRPr="12ADE25C" w:rsidR="12ADE25C">
        <w:rPr>
          <w:rFonts w:ascii="Calibri" w:hAnsi="Calibri" w:eastAsia="Calibri" w:cs="Calibri"/>
          <w:b w:val="0"/>
          <w:bCs w:val="0"/>
          <w:i w:val="0"/>
          <w:iCs w:val="0"/>
          <w:caps w:val="0"/>
          <w:smallCaps w:val="0"/>
          <w:noProof w:val="0"/>
          <w:color w:val="3A3A3A"/>
          <w:sz w:val="25"/>
          <w:szCs w:val="25"/>
          <w:lang w:val="es-ES"/>
        </w:rPr>
        <w:t xml:space="preserve"> (Pfeiffer &amp; Jarosewich, 2003; 2020) para incluir una evaluación fiable de evidencia de alta creatividad.</w:t>
      </w:r>
    </w:p>
    <w:p xmlns:wp14="http://schemas.microsoft.com/office/word/2010/wordml" w:rsidP="12ADE25C" w14:paraId="48D5F684" wp14:textId="4B714A3E">
      <w:pPr>
        <w:jc w:val="left"/>
      </w:pPr>
      <w:r w:rsidRPr="12ADE25C" w:rsidR="12ADE25C">
        <w:rPr>
          <w:rFonts w:ascii="Calibri" w:hAnsi="Calibri" w:eastAsia="Calibri" w:cs="Calibri"/>
          <w:b w:val="1"/>
          <w:bCs w:val="1"/>
          <w:i w:val="0"/>
          <w:iCs w:val="0"/>
          <w:caps w:val="0"/>
          <w:smallCaps w:val="0"/>
          <w:noProof w:val="0"/>
          <w:color w:val="3A3A3A"/>
          <w:sz w:val="25"/>
          <w:szCs w:val="25"/>
          <w:lang w:val="es-ES"/>
        </w:rPr>
        <w:t>La justificación de los programas para alumnos dotados basados en una perspectiva de logros sobresalientes es que, los estudiantes que se destacan académicamente han ganado y merecen programas y servicios académicos especiales debido a su esfuerzo sobresaliente y logros superiores</w:t>
      </w:r>
      <w:r w:rsidRPr="12ADE25C" w:rsidR="12ADE25C">
        <w:rPr>
          <w:rFonts w:ascii="Calibri" w:hAnsi="Calibri" w:eastAsia="Calibri" w:cs="Calibri"/>
          <w:b w:val="0"/>
          <w:bCs w:val="0"/>
          <w:i w:val="0"/>
          <w:iCs w:val="0"/>
          <w:caps w:val="0"/>
          <w:smallCaps w:val="0"/>
          <w:noProof w:val="0"/>
          <w:color w:val="3A3A3A"/>
          <w:sz w:val="25"/>
          <w:szCs w:val="25"/>
          <w:lang w:val="es-ES"/>
        </w:rPr>
        <w:t>. La educación para los más capaces, basada en esta segunda lente de logros sobresalientes, sería algo diferente de la educación para los más capaces guiada por una perspectiva de alta inteligencia. Por ejemplo, los programas consistirían en planes de estudio altamente enriquecidos y académicamente desafiantes, aunque no necesariamente de ritmo rápido o altamente avanzado.</w:t>
      </w:r>
    </w:p>
    <w:p xmlns:wp14="http://schemas.microsoft.com/office/word/2010/wordml" w:rsidP="12ADE25C" w14:paraId="7FCD843D" wp14:textId="705E8A33">
      <w:pPr>
        <w:jc w:val="left"/>
      </w:pPr>
      <w:r w:rsidRPr="12ADE25C" w:rsidR="12ADE25C">
        <w:rPr>
          <w:rFonts w:ascii="Calibri" w:hAnsi="Calibri" w:eastAsia="Calibri" w:cs="Calibri"/>
          <w:b w:val="0"/>
          <w:bCs w:val="0"/>
          <w:i w:val="0"/>
          <w:iCs w:val="0"/>
          <w:caps w:val="0"/>
          <w:smallCaps w:val="0"/>
          <w:noProof w:val="0"/>
          <w:color w:val="3A3A3A"/>
          <w:sz w:val="25"/>
          <w:szCs w:val="25"/>
          <w:lang w:val="es-ES"/>
        </w:rPr>
        <w:t xml:space="preserve">Llamo a la tercera lente o perspectiva, </w:t>
      </w:r>
      <w:r w:rsidRPr="12ADE25C" w:rsidR="12ADE25C">
        <w:rPr>
          <w:rFonts w:ascii="Calibri" w:hAnsi="Calibri" w:eastAsia="Calibri" w:cs="Calibri"/>
          <w:b w:val="1"/>
          <w:bCs w:val="1"/>
          <w:i w:val="0"/>
          <w:iCs w:val="0"/>
          <w:caps w:val="0"/>
          <w:smallCaps w:val="0"/>
          <w:noProof w:val="0"/>
          <w:color w:val="3A3A3A"/>
          <w:sz w:val="25"/>
          <w:szCs w:val="25"/>
          <w:lang w:val="es-ES"/>
        </w:rPr>
        <w:t>potencial para sobresalir</w:t>
      </w:r>
      <w:r w:rsidRPr="12ADE25C" w:rsidR="12ADE25C">
        <w:rPr>
          <w:rFonts w:ascii="Calibri" w:hAnsi="Calibri" w:eastAsia="Calibri" w:cs="Calibri"/>
          <w:b w:val="0"/>
          <w:bCs w:val="0"/>
          <w:i w:val="0"/>
          <w:iCs w:val="0"/>
          <w:caps w:val="0"/>
          <w:smallCaps w:val="0"/>
          <w:noProof w:val="0"/>
          <w:color w:val="3A3A3A"/>
          <w:sz w:val="25"/>
          <w:szCs w:val="25"/>
          <w:lang w:val="es-ES"/>
        </w:rPr>
        <w:t xml:space="preserve">. ¿Qué quiero decir con esta tercera forma de ver la alta capacidad? En mi experiencia clínica, y al consultar con decenas de cientos de educadores durante cuarenta años, a algunos niños y jóvenes, por diversas razones, no se les ha brindado la oportunidad suficiente, la estimulación intelectual adecuada y, a menudo, los factores socioemocionales facilitadores para desarrollar </w:t>
      </w:r>
      <w:r w:rsidRPr="12ADE25C" w:rsidR="12ADE25C">
        <w:rPr>
          <w:rFonts w:ascii="Calibri" w:hAnsi="Calibri" w:eastAsia="Calibri" w:cs="Calibri"/>
          <w:b w:val="1"/>
          <w:bCs w:val="1"/>
          <w:i w:val="0"/>
          <w:iCs w:val="0"/>
          <w:caps w:val="0"/>
          <w:smallCaps w:val="0"/>
          <w:noProof w:val="0"/>
          <w:color w:val="3A3A3A"/>
          <w:sz w:val="25"/>
          <w:szCs w:val="25"/>
          <w:lang w:val="es-ES"/>
        </w:rPr>
        <w:t>lo que queda como dones intelectuales o académicos latentes y aún no desarrollados o subdesarrollados</w:t>
      </w:r>
      <w:r w:rsidRPr="12ADE25C" w:rsidR="12ADE25C">
        <w:rPr>
          <w:rFonts w:ascii="Calibri" w:hAnsi="Calibri" w:eastAsia="Calibri" w:cs="Calibri"/>
          <w:b w:val="0"/>
          <w:bCs w:val="0"/>
          <w:i w:val="0"/>
          <w:iCs w:val="0"/>
          <w:caps w:val="0"/>
          <w:smallCaps w:val="0"/>
          <w:noProof w:val="0"/>
          <w:color w:val="3A3A3A"/>
          <w:sz w:val="25"/>
          <w:szCs w:val="25"/>
          <w:lang w:val="es-ES"/>
        </w:rPr>
        <w:t>. Esta tercera perspectiva del modelo tripartito está respaldada por un creciente cuerpo de investigación (por ejemplo, el trabajo de Nisbett, 2009). Estoy seguro de que la mayoría de los lectores pueden identificarse con esta tercera perspectiva y pueden pensar en uno o más estudiantes que enseñaron con un potencial alto, pero no actualizado.</w:t>
      </w:r>
    </w:p>
    <w:p xmlns:wp14="http://schemas.microsoft.com/office/word/2010/wordml" w:rsidP="12ADE25C" w14:paraId="15B6F388" wp14:textId="47C2C872">
      <w:pPr>
        <w:jc w:val="left"/>
      </w:pPr>
      <w:r w:rsidRPr="12ADE25C" w:rsidR="12ADE25C">
        <w:rPr>
          <w:rFonts w:ascii="Calibri" w:hAnsi="Calibri" w:eastAsia="Calibri" w:cs="Calibri"/>
          <w:b w:val="0"/>
          <w:bCs w:val="0"/>
          <w:i w:val="0"/>
          <w:iCs w:val="0"/>
          <w:caps w:val="0"/>
          <w:smallCaps w:val="0"/>
          <w:noProof w:val="0"/>
          <w:color w:val="3A3A3A"/>
          <w:sz w:val="25"/>
          <w:szCs w:val="25"/>
          <w:lang w:val="es-ES"/>
        </w:rPr>
        <w:t>La mayoría de los educadores y psicólogos están de acuerdo en que no todos los niños comienzan en igualdad de condiciones. Algunos niños pobres, familias inmigrantes, aquellos de familias en las que las actividades intelectuales y académicas no son alentadas ni alimentadas en el hogar, o los niños que crecen en la pobreza, las comunidades superpobladas o peligrosas con recursos limitados u oportunidades educativas escasas, están en una clara desventaja para desarrollar sus dones. Este fue el fundamento de la tercera perspectiva dentro del modelo tripartito.</w:t>
      </w:r>
    </w:p>
    <w:p xmlns:wp14="http://schemas.microsoft.com/office/word/2010/wordml" w:rsidP="12ADE25C" w14:paraId="6064BA6D" wp14:textId="6902B582">
      <w:pPr>
        <w:jc w:val="left"/>
      </w:pPr>
      <w:r w:rsidRPr="12ADE25C" w:rsidR="12ADE25C">
        <w:rPr>
          <w:rFonts w:ascii="Calibri" w:hAnsi="Calibri" w:eastAsia="Calibri" w:cs="Calibri"/>
          <w:b w:val="1"/>
          <w:bCs w:val="1"/>
          <w:i w:val="0"/>
          <w:iCs w:val="0"/>
          <w:caps w:val="0"/>
          <w:smallCaps w:val="0"/>
          <w:noProof w:val="0"/>
          <w:color w:val="3A3A3A"/>
          <w:sz w:val="25"/>
          <w:szCs w:val="25"/>
          <w:lang w:val="es-ES"/>
        </w:rPr>
        <w:t>La tercera perspectiva implica una predicción de que los estudiantes de alto potencial probablemente florecerán y sobresaldrán cuando se les proporcionen recursos especiales e intervenciones psicoeducativas adecuadas.</w:t>
      </w:r>
      <w:r w:rsidRPr="12ADE25C" w:rsidR="12ADE25C">
        <w:rPr>
          <w:rFonts w:ascii="Calibri" w:hAnsi="Calibri" w:eastAsia="Calibri" w:cs="Calibri"/>
          <w:b w:val="0"/>
          <w:bCs w:val="0"/>
          <w:i w:val="0"/>
          <w:iCs w:val="0"/>
          <w:caps w:val="0"/>
          <w:smallCaps w:val="0"/>
          <w:noProof w:val="0"/>
          <w:color w:val="3A3A3A"/>
          <w:sz w:val="25"/>
          <w:szCs w:val="25"/>
          <w:lang w:val="es-ES"/>
        </w:rPr>
        <w:t xml:space="preserve"> La suposición que subyace a esta tercera perspectiva del modelo es que, con el tiempo, un ambiente alentador y altamente estimulante, y las intervenciones socioemocionales adecuadas, estos estudiantes actualizarán su alto potencial aún no realizado y se distinguirán de sus pares de la misma edad, siendo calificados como dotados y talentosos.</w:t>
      </w:r>
    </w:p>
    <w:p xmlns:wp14="http://schemas.microsoft.com/office/word/2010/wordml" w:rsidP="12ADE25C" w14:paraId="6C496190" wp14:textId="3E7A92BE">
      <w:pPr>
        <w:jc w:val="left"/>
      </w:pPr>
      <w:r w:rsidRPr="12ADE25C" w:rsidR="12ADE25C">
        <w:rPr>
          <w:rFonts w:ascii="Calibri" w:hAnsi="Calibri" w:eastAsia="Calibri" w:cs="Calibri"/>
          <w:b w:val="1"/>
          <w:bCs w:val="1"/>
          <w:i w:val="0"/>
          <w:iCs w:val="0"/>
          <w:caps w:val="0"/>
          <w:smallCaps w:val="0"/>
          <w:noProof w:val="0"/>
          <w:color w:val="3A3A3A"/>
          <w:sz w:val="25"/>
          <w:szCs w:val="25"/>
          <w:lang w:val="es-ES"/>
        </w:rPr>
        <w:t>Los programas para dotados que se guían por una perspectiva de potencial para sobresalir consisten en un plan de estudios altamente motivador y enriquecido</w:t>
      </w:r>
      <w:r w:rsidRPr="12ADE25C" w:rsidR="12ADE25C">
        <w:rPr>
          <w:rFonts w:ascii="Calibri" w:hAnsi="Calibri" w:eastAsia="Calibri" w:cs="Calibri"/>
          <w:b w:val="0"/>
          <w:bCs w:val="0"/>
          <w:i w:val="0"/>
          <w:iCs w:val="0"/>
          <w:caps w:val="0"/>
          <w:smallCaps w:val="0"/>
          <w:noProof w:val="0"/>
          <w:color w:val="3A3A3A"/>
          <w:sz w:val="25"/>
          <w:szCs w:val="25"/>
          <w:lang w:val="es-ES"/>
        </w:rPr>
        <w:t xml:space="preserve"> que, a menudo, incluye intervenciones compensatorias. Esta tercera categoría de personas de alta capacidad también conlleva una predicción. La predicción es que si se proporciona al alumno un conjunto de intervenciones psicoeducativas bien concebidas, integrales, y basadas en evidencias, que a menudo requieren componente de apoyo en el hogar, entonces él o ella prosperará y, en última instancia, parecerá casi indistinguible, o al menos muy similar a cualquier estudiante que ya esté identificado como perteneciente a una de las otras dos categorías de dotados, de alta inteligencia o de alumnos académicamente dotados.</w:t>
      </w:r>
    </w:p>
    <w:p xmlns:wp14="http://schemas.microsoft.com/office/word/2010/wordml" w:rsidP="12ADE25C" w14:paraId="6C710529" wp14:textId="3008B504">
      <w:pPr>
        <w:jc w:val="left"/>
      </w:pPr>
      <w:r w:rsidRPr="12ADE25C" w:rsidR="12ADE25C">
        <w:rPr>
          <w:rFonts w:ascii="Calibri" w:hAnsi="Calibri" w:eastAsia="Calibri" w:cs="Calibri"/>
          <w:b w:val="0"/>
          <w:bCs w:val="0"/>
          <w:i w:val="0"/>
          <w:iCs w:val="0"/>
          <w:caps w:val="0"/>
          <w:smallCaps w:val="0"/>
          <w:noProof w:val="0"/>
          <w:color w:val="3A3A3A"/>
          <w:sz w:val="25"/>
          <w:szCs w:val="25"/>
          <w:lang w:val="es-ES"/>
        </w:rPr>
        <w:t xml:space="preserve">No hay mucha investigación empírica relevante relativa a la hipótesis de que existe este tercer tipo de personas de alta capacidad, los </w:t>
      </w:r>
      <w:r w:rsidRPr="12ADE25C" w:rsidR="12ADE25C">
        <w:rPr>
          <w:rFonts w:ascii="Calibri" w:hAnsi="Calibri" w:eastAsia="Calibri" w:cs="Calibri"/>
          <w:b w:val="0"/>
          <w:bCs w:val="0"/>
          <w:i w:val="1"/>
          <w:iCs w:val="1"/>
          <w:caps w:val="0"/>
          <w:smallCaps w:val="0"/>
          <w:noProof w:val="0"/>
          <w:color w:val="3A3A3A"/>
          <w:sz w:val="25"/>
          <w:szCs w:val="25"/>
          <w:lang w:val="es-ES"/>
        </w:rPr>
        <w:t>diamantes en bruto</w:t>
      </w:r>
      <w:r w:rsidRPr="12ADE25C" w:rsidR="12ADE25C">
        <w:rPr>
          <w:rFonts w:ascii="Calibri" w:hAnsi="Calibri" w:eastAsia="Calibri" w:cs="Calibri"/>
          <w:b w:val="0"/>
          <w:bCs w:val="0"/>
          <w:i w:val="0"/>
          <w:iCs w:val="0"/>
          <w:caps w:val="0"/>
          <w:smallCaps w:val="0"/>
          <w:noProof w:val="0"/>
          <w:color w:val="3A3A3A"/>
          <w:sz w:val="25"/>
          <w:szCs w:val="25"/>
          <w:lang w:val="es-ES"/>
        </w:rPr>
        <w:t xml:space="preserve">. Estos son niños y jóvenes que florecerán de manera sorprendente con intervenciones psicoeducativas intensivas y bien diseñadas. Es evidente que </w:t>
      </w:r>
      <w:r w:rsidRPr="12ADE25C" w:rsidR="12ADE25C">
        <w:rPr>
          <w:rFonts w:ascii="Calibri" w:hAnsi="Calibri" w:eastAsia="Calibri" w:cs="Calibri"/>
          <w:b w:val="1"/>
          <w:bCs w:val="1"/>
          <w:i w:val="0"/>
          <w:iCs w:val="0"/>
          <w:caps w:val="0"/>
          <w:smallCaps w:val="0"/>
          <w:noProof w:val="0"/>
          <w:color w:val="3A3A3A"/>
          <w:sz w:val="25"/>
          <w:szCs w:val="25"/>
          <w:lang w:val="es-ES"/>
        </w:rPr>
        <w:t>las intervenciones tendrían que ser una dosis alta para compensar las experiencias y oportunidades familiares y educativas tempranas y perdidas</w:t>
      </w:r>
      <w:r w:rsidRPr="12ADE25C" w:rsidR="12ADE25C">
        <w:rPr>
          <w:rFonts w:ascii="Calibri" w:hAnsi="Calibri" w:eastAsia="Calibri" w:cs="Calibri"/>
          <w:b w:val="0"/>
          <w:bCs w:val="0"/>
          <w:i w:val="0"/>
          <w:iCs w:val="0"/>
          <w:caps w:val="0"/>
          <w:smallCaps w:val="0"/>
          <w:noProof w:val="0"/>
          <w:color w:val="3A3A3A"/>
          <w:sz w:val="25"/>
          <w:szCs w:val="25"/>
          <w:lang w:val="es-ES"/>
        </w:rPr>
        <w:t xml:space="preserve">. Y también es evidente que, cuanto antes los educadores y los psicólogos escolares identifiquen a los estudiantes jóvenes dotados y talentosos con potencial para sobresalir, es más probable que respondan favorablemente a las intervenciones psicoeducativas planificadas y basadas en evidencias. Esta es un área de oportunidades de investigación muy emocionante y prometedora, tanto en los Estados Unidos como a nivel mundial. Cuando desarrollamos las escalas GRS, incluida la nueva escala principal GRS-2, incluimos intencionalmente elementos de la escala de calificación no intelectual. Queríamos </w:t>
      </w:r>
      <w:r w:rsidRPr="12ADE25C" w:rsidR="12ADE25C">
        <w:rPr>
          <w:rFonts w:ascii="Calibri" w:hAnsi="Calibri" w:eastAsia="Calibri" w:cs="Calibri"/>
          <w:b w:val="1"/>
          <w:bCs w:val="1"/>
          <w:i w:val="0"/>
          <w:iCs w:val="0"/>
          <w:caps w:val="0"/>
          <w:smallCaps w:val="0"/>
          <w:noProof w:val="0"/>
          <w:color w:val="3A3A3A"/>
          <w:sz w:val="25"/>
          <w:szCs w:val="25"/>
          <w:lang w:val="es-ES"/>
        </w:rPr>
        <w:t>evaluar de manera fiable la motivación, el impulso, la persistencia, la pasión académica y la madurez socioemocional</w:t>
      </w:r>
      <w:r w:rsidRPr="12ADE25C" w:rsidR="12ADE25C">
        <w:rPr>
          <w:rFonts w:ascii="Calibri" w:hAnsi="Calibri" w:eastAsia="Calibri" w:cs="Calibri"/>
          <w:b w:val="0"/>
          <w:bCs w:val="0"/>
          <w:i w:val="0"/>
          <w:iCs w:val="0"/>
          <w:caps w:val="0"/>
          <w:smallCaps w:val="0"/>
          <w:noProof w:val="0"/>
          <w:color w:val="3A3A3A"/>
          <w:sz w:val="25"/>
          <w:szCs w:val="25"/>
          <w:lang w:val="es-ES"/>
        </w:rPr>
        <w:t xml:space="preserve">, cosas que creemos ayudan a identificar a este tercer grupo de niños y jóvenes dotados, </w:t>
      </w:r>
      <w:r w:rsidRPr="12ADE25C" w:rsidR="12ADE25C">
        <w:rPr>
          <w:rFonts w:ascii="Calibri" w:hAnsi="Calibri" w:eastAsia="Calibri" w:cs="Calibri"/>
          <w:b w:val="0"/>
          <w:bCs w:val="0"/>
          <w:i w:val="1"/>
          <w:iCs w:val="1"/>
          <w:caps w:val="0"/>
          <w:smallCaps w:val="0"/>
          <w:noProof w:val="0"/>
          <w:color w:val="3A3A3A"/>
          <w:sz w:val="25"/>
          <w:szCs w:val="25"/>
          <w:lang w:val="es-ES"/>
        </w:rPr>
        <w:t>los diamantes en bruto</w:t>
      </w:r>
      <w:r w:rsidRPr="12ADE25C" w:rsidR="12ADE25C">
        <w:rPr>
          <w:rFonts w:ascii="Calibri" w:hAnsi="Calibri" w:eastAsia="Calibri" w:cs="Calibri"/>
          <w:b w:val="0"/>
          <w:bCs w:val="0"/>
          <w:i w:val="0"/>
          <w:iCs w:val="0"/>
          <w:caps w:val="0"/>
          <w:smallCaps w:val="0"/>
          <w:noProof w:val="0"/>
          <w:color w:val="3A3A3A"/>
          <w:sz w:val="25"/>
          <w:szCs w:val="25"/>
          <w:lang w:val="es-ES"/>
        </w:rPr>
        <w:t>. Estos elementos en las nuevas escalas para maestros y padres GRS-2 reflejan factores importantes, no intelectuales, que diferencian a los estudiantes dotados exitosos de los menos exitosos.</w:t>
      </w:r>
    </w:p>
    <w:p xmlns:wp14="http://schemas.microsoft.com/office/word/2010/wordml" w:rsidP="12ADE25C" w14:paraId="3FD1E2C8" wp14:textId="2AE1FD4B">
      <w:pPr>
        <w:jc w:val="left"/>
      </w:pPr>
      <w:r w:rsidRPr="12ADE25C" w:rsidR="12ADE25C">
        <w:rPr>
          <w:rFonts w:ascii="Calibri" w:hAnsi="Calibri" w:eastAsia="Calibri" w:cs="Calibri"/>
          <w:b w:val="0"/>
          <w:bCs w:val="0"/>
          <w:i w:val="0"/>
          <w:iCs w:val="0"/>
          <w:caps w:val="0"/>
          <w:smallCaps w:val="0"/>
          <w:noProof w:val="0"/>
          <w:color w:val="3A3A3A"/>
          <w:sz w:val="25"/>
          <w:szCs w:val="25"/>
          <w:lang w:val="es-ES"/>
        </w:rPr>
        <w:t xml:space="preserve">En resumen, estas tres categorías constituyen diferentes tipos de niños brillantes, con diferentes niveles y perfiles de capacidades cognitivas y socioemocionales. Y los estamos encontrando, con diferentes capacidades y características de personalidad. Sin embargo, los tres grupos no son mutuamente excluyentes. Por ejemplo, hay muchos estudiantes con puntuaciones de CI excepcionalmente altas, que son estudiantes académicamente dotados y con una pasión ardiente por aprender. </w:t>
      </w:r>
      <w:r w:rsidRPr="12ADE25C" w:rsidR="12ADE25C">
        <w:rPr>
          <w:rFonts w:ascii="Calibri" w:hAnsi="Calibri" w:eastAsia="Calibri" w:cs="Calibri"/>
          <w:b w:val="1"/>
          <w:bCs w:val="1"/>
          <w:i w:val="0"/>
          <w:iCs w:val="0"/>
          <w:caps w:val="0"/>
          <w:smallCaps w:val="0"/>
          <w:noProof w:val="0"/>
          <w:color w:val="3A3A3A"/>
          <w:sz w:val="25"/>
          <w:szCs w:val="25"/>
          <w:lang w:val="es-ES"/>
        </w:rPr>
        <w:t>Desarrollé el modelo tripartito, en parte, para reducir la acritud que a menudo se encuentra en la literatura para los más dotados, y en las escuelas, cuando un grupo de educadores, administradores o padres abogan por la adopción de una sola visión del alto cociente intelectual, generalmente definida de manera estrecha</w:t>
      </w:r>
      <w:r w:rsidRPr="12ADE25C" w:rsidR="12ADE25C">
        <w:rPr>
          <w:rFonts w:ascii="Calibri" w:hAnsi="Calibri" w:eastAsia="Calibri" w:cs="Calibri"/>
          <w:b w:val="0"/>
          <w:bCs w:val="0"/>
          <w:i w:val="0"/>
          <w:iCs w:val="0"/>
          <w:caps w:val="0"/>
          <w:smallCaps w:val="0"/>
          <w:noProof w:val="0"/>
          <w:color w:val="3A3A3A"/>
          <w:sz w:val="25"/>
          <w:szCs w:val="25"/>
          <w:lang w:val="es-ES"/>
        </w:rPr>
        <w:t>. Los lectores interesados pueden encontrar lo esencial de la evaluación de los más capaces (Pfieffer, 2015) informativo. El libro detalla para educadores y psicólogos escolares cómo operacionalizar el modelo tripartito</w:t>
      </w:r>
      <w:hyperlink w:anchor="_ftn5" r:id="Rff08820abed24467">
        <w:r w:rsidRPr="12ADE25C" w:rsidR="12ADE25C">
          <w:rPr>
            <w:rStyle w:val="Hyperlink"/>
            <w:rFonts w:ascii="Calibri" w:hAnsi="Calibri" w:eastAsia="Calibri" w:cs="Calibri"/>
            <w:b w:val="0"/>
            <w:bCs w:val="0"/>
            <w:i w:val="0"/>
            <w:iCs w:val="0"/>
            <w:caps w:val="0"/>
            <w:smallCaps w:val="0"/>
            <w:strike w:val="0"/>
            <w:dstrike w:val="0"/>
            <w:noProof w:val="0"/>
            <w:sz w:val="25"/>
            <w:szCs w:val="25"/>
            <w:lang w:val="es-ES"/>
          </w:rPr>
          <w:t>[5]</w:t>
        </w:r>
      </w:hyperlink>
      <w:r w:rsidRPr="12ADE25C" w:rsidR="12ADE25C">
        <w:rPr>
          <w:rFonts w:ascii="Calibri" w:hAnsi="Calibri" w:eastAsia="Calibri" w:cs="Calibri"/>
          <w:b w:val="0"/>
          <w:bCs w:val="0"/>
          <w:i w:val="0"/>
          <w:iCs w:val="0"/>
          <w:caps w:val="0"/>
          <w:smallCaps w:val="0"/>
          <w:noProof w:val="0"/>
          <w:color w:val="3A3A3A"/>
          <w:sz w:val="25"/>
          <w:szCs w:val="25"/>
          <w:lang w:val="es-ES"/>
        </w:rPr>
        <w:t>.</w:t>
      </w:r>
    </w:p>
    <w:p xmlns:wp14="http://schemas.microsoft.com/office/word/2010/wordml" w:rsidP="12ADE25C" w14:paraId="5C1A07E2" wp14:textId="4CE0DD54">
      <w:pPr>
        <w:pStyle w:val="Normal"/>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27944B8"/>
    <w:rsid w:val="12ADE25C"/>
    <w:rsid w:val="427944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944B8"/>
  <w15:chartTrackingRefBased/>
  <w15:docId w15:val="{0D384694-FA02-4F45-91FD-E0756285181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s://www.javiertouron.es/pensando-en-la-alta-capacidad-y-el-desarrollo-del-talento-cuales-son-los-aspectos-principales/" TargetMode="External" Id="Ra5bf722ea6a34308" /><Relationship Type="http://schemas.openxmlformats.org/officeDocument/2006/relationships/hyperlink" Target="https://www.cambridge.org/core/books/conceptions-of-giftedness/9C25A00D5B1C48D12D2D45C11B2DF5A9" TargetMode="External" Id="Ra28434abebe7415a" /><Relationship Type="http://schemas.openxmlformats.org/officeDocument/2006/relationships/hyperlink" Target="https://www.javiertouron.es/pensando-en-la-alta-capacidad-y-el-desarrollo-del-talento-cuales-son-los-aspectos-principales/" TargetMode="External" Id="R83b3ea53af6b4b70" /><Relationship Type="http://schemas.openxmlformats.org/officeDocument/2006/relationships/hyperlink" Target="https://www.javiertouron.es/pensando-en-la-alta-capacidad-y-el-desarrollo-del-talento-cuales-son-los-aspectos-principales/" TargetMode="External" Id="R1bce1744c8424c34" /><Relationship Type="http://schemas.openxmlformats.org/officeDocument/2006/relationships/hyperlink" Target="https://www.javiertouron.es/pensando-en-la-alta-capacidad-y-el-desarrollo-del-talento-cuales-son-los-aspectos-principales/" TargetMode="External" Id="Rff08820abed2446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2022-09-13T10:53:18.9015030Z</dcterms:created>
  <dcterms:modified xsi:type="dcterms:W3CDTF">2022-09-13T10:54:00.9977624Z</dcterms:modified>
  <dc:creator>mariajose herranz correa</dc:creator>
  <lastModifiedBy>mariajose herranz correa</lastModifiedBy>
</coreProperties>
</file>